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27C5" w14:textId="77777777" w:rsidR="008424BD" w:rsidRPr="004A1A3D" w:rsidRDefault="008424BD" w:rsidP="004A1A3D">
      <w:pPr>
        <w:ind w:left="-993"/>
        <w:rPr>
          <w:rFonts w:ascii="Arial" w:hAnsi="Arial" w:cs="Arial"/>
          <w:b/>
          <w:bCs/>
        </w:rPr>
      </w:pPr>
      <w:bookmarkStart w:id="0" w:name="bookmark172"/>
      <w:bookmarkStart w:id="1" w:name="bookmark171"/>
      <w:r w:rsidRPr="004A1A3D">
        <w:rPr>
          <w:rFonts w:ascii="Arial" w:hAnsi="Arial" w:cs="Arial"/>
          <w:b/>
          <w:bCs/>
        </w:rPr>
        <w:t>RY EK 5: Örnek Risk Değerlendirme Kriterleri Tablosu</w:t>
      </w:r>
      <w:bookmarkEnd w:id="0"/>
      <w:bookmarkEnd w:id="1"/>
    </w:p>
    <w:tbl>
      <w:tblPr>
        <w:tblOverlap w:val="never"/>
        <w:tblW w:w="15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1168"/>
        <w:gridCol w:w="3198"/>
        <w:gridCol w:w="3045"/>
        <w:gridCol w:w="2549"/>
        <w:gridCol w:w="2816"/>
        <w:gridCol w:w="2619"/>
      </w:tblGrid>
      <w:tr w:rsidR="008424BD" w:rsidRPr="004A1A3D" w14:paraId="2175E506" w14:textId="77777777" w:rsidTr="004A1A3D">
        <w:trPr>
          <w:trHeight w:hRule="exact" w:val="30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textDirection w:val="btLr"/>
          </w:tcPr>
          <w:p w14:paraId="7C0F86E1" w14:textId="77777777" w:rsidR="008424BD" w:rsidRPr="004A1A3D" w:rsidRDefault="008424BD" w:rsidP="0025443A">
            <w:pPr>
              <w:pStyle w:val="Dier0"/>
              <w:spacing w:before="140"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Değer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textDirection w:val="btLr"/>
            <w:vAlign w:val="center"/>
          </w:tcPr>
          <w:p w14:paraId="7AB66F87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Aralık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center"/>
          </w:tcPr>
          <w:p w14:paraId="43E18FBE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Olasılık</w:t>
            </w:r>
          </w:p>
        </w:tc>
        <w:tc>
          <w:tcPr>
            <w:tcW w:w="110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F54560C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Etki</w:t>
            </w:r>
          </w:p>
        </w:tc>
      </w:tr>
      <w:tr w:rsidR="004A1A3D" w:rsidRPr="004A1A3D" w14:paraId="00733047" w14:textId="77777777" w:rsidTr="00182DB0">
        <w:trPr>
          <w:trHeight w:hRule="exact" w:val="704"/>
          <w:jc w:val="center"/>
        </w:trPr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808080"/>
            <w:textDirection w:val="btLr"/>
          </w:tcPr>
          <w:p w14:paraId="42DFE8C7" w14:textId="77777777" w:rsidR="008424BD" w:rsidRPr="004A1A3D" w:rsidRDefault="008424BD" w:rsidP="0025443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</w:tcBorders>
            <w:shd w:val="clear" w:color="auto" w:fill="808080"/>
            <w:textDirection w:val="btLr"/>
            <w:vAlign w:val="center"/>
          </w:tcPr>
          <w:p w14:paraId="22F1ECB7" w14:textId="77777777" w:rsidR="008424BD" w:rsidRPr="004A1A3D" w:rsidRDefault="008424BD" w:rsidP="0025443A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</w:tcBorders>
            <w:shd w:val="clear" w:color="auto" w:fill="808080"/>
            <w:vAlign w:val="center"/>
          </w:tcPr>
          <w:p w14:paraId="3612FAD4" w14:textId="77777777" w:rsidR="008424BD" w:rsidRPr="004A1A3D" w:rsidRDefault="008424BD" w:rsidP="0025443A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center"/>
          </w:tcPr>
          <w:p w14:paraId="112D6266" w14:textId="77777777" w:rsidR="008424BD" w:rsidRPr="004A1A3D" w:rsidRDefault="008424BD" w:rsidP="0025443A">
            <w:pPr>
              <w:pStyle w:val="Dier0"/>
              <w:spacing w:after="0"/>
              <w:ind w:firstLine="740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Strateji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center"/>
          </w:tcPr>
          <w:p w14:paraId="15248C31" w14:textId="77777777" w:rsidR="008424BD" w:rsidRPr="004A1A3D" w:rsidRDefault="008424BD" w:rsidP="0025443A">
            <w:pPr>
              <w:pStyle w:val="Dier0"/>
              <w:spacing w:after="0"/>
              <w:ind w:firstLine="140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Faaliyetler/süreçler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center"/>
          </w:tcPr>
          <w:p w14:paraId="362302ED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Mali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83410BE" w14:textId="77777777" w:rsidR="008424BD" w:rsidRPr="004A1A3D" w:rsidRDefault="008424BD" w:rsidP="0025443A">
            <w:pPr>
              <w:pStyle w:val="Dier0"/>
              <w:spacing w:after="0"/>
              <w:ind w:firstLine="660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Mevzuata Uyum</w:t>
            </w:r>
          </w:p>
        </w:tc>
      </w:tr>
      <w:tr w:rsidR="003576B9" w:rsidRPr="004A1A3D" w14:paraId="77CB5625" w14:textId="77777777" w:rsidTr="004A1A3D">
        <w:trPr>
          <w:trHeight w:hRule="exact" w:val="69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FD2F5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10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E0001"/>
            <w:vAlign w:val="center"/>
          </w:tcPr>
          <w:p w14:paraId="201CDF91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Yüksek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7116D" w14:textId="56CCE1CC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...yıl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ay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gün içerisinde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gerçekleşmesi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neredeyse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kesin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olan risklerdir. İdarenin yapısı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göz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önüne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alındığında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genellikle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politika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veya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prosedürlerden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kaynaklanır.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İdarenin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faaliyet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alanı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ne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kadar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geniş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ise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riskli olayların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gerçekleşme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olasılığı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kadar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yüksektir.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45B63" w14:textId="486D7D96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Stratejik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hedeflere</w:t>
            </w:r>
          </w:p>
          <w:p w14:paraId="5592DF2C" w14:textId="15B02CC4" w:rsidR="008424BD" w:rsidRPr="004A1A3D" w:rsidRDefault="00ED41F5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U</w:t>
            </w:r>
            <w:r w:rsidR="008424BD" w:rsidRPr="004A1A3D">
              <w:rPr>
                <w:rFonts w:ascii="Arial" w:hAnsi="Arial" w:cs="Arial"/>
              </w:rPr>
              <w:t>laşmada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önemli</w:t>
            </w:r>
          </w:p>
          <w:p w14:paraId="55720341" w14:textId="2B0BFE89" w:rsidR="008424BD" w:rsidRPr="004A1A3D" w:rsidRDefault="00ED41F5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E</w:t>
            </w:r>
            <w:r w:rsidR="008424BD" w:rsidRPr="004A1A3D">
              <w:rPr>
                <w:rFonts w:ascii="Arial" w:hAnsi="Arial" w:cs="Arial"/>
              </w:rPr>
              <w:t>tkisi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olabilecek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risklerdir.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Gerçekleşmesi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durumunda idarenin hedeflerinden sapmasına dolayısıyla amaçlarını yeterince</w:t>
            </w:r>
            <w:r w:rsidRPr="004A1A3D">
              <w:rPr>
                <w:rFonts w:ascii="Arial" w:hAnsi="Arial" w:cs="Arial"/>
              </w:rPr>
              <w:t xml:space="preserve"> g</w:t>
            </w:r>
            <w:r w:rsidR="008424BD" w:rsidRPr="004A1A3D">
              <w:rPr>
                <w:rFonts w:ascii="Arial" w:hAnsi="Arial" w:cs="Arial"/>
              </w:rPr>
              <w:t>erçekleştirememesi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ne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neden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olabilecek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risklerdir.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83067" w14:textId="03D18746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İdarenin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birimin 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alt birimin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faaliyetlerini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etkili, ekonomik ve verimli bir biçimde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gerçekleştirememesine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neden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olacak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riskler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bu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kategoridedir.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FE7A9" w14:textId="4D266DBC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İdare/birim/alt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için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önemli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maddi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kayba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neden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olabilecek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risklerdir.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Kamu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kaynaklarının,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idare tarafından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kabul edilebilir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düzeyin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üzerinde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etkili,</w:t>
            </w:r>
            <w:r w:rsidR="00ED41F5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ekonomik ve verimli kullanılmaması yüksek riskli kabul edilmelidir.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C166" w14:textId="1CC5BCFD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Bilerek</w:t>
            </w:r>
            <w:r w:rsidRPr="004A1A3D">
              <w:rPr>
                <w:rFonts w:ascii="Arial" w:hAnsi="Arial" w:cs="Arial"/>
              </w:rPr>
              <w:tab/>
              <w:t>veya</w:t>
            </w:r>
            <w:r w:rsidRPr="004A1A3D">
              <w:rPr>
                <w:rFonts w:ascii="Arial" w:hAnsi="Arial" w:cs="Arial"/>
              </w:rPr>
              <w:tab/>
              <w:t>bilmeyerek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mevzuatla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uyumun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sağlanamaması durumunda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idare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alt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üzerinde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büyük</w:t>
            </w:r>
            <w:r w:rsidR="00DF617C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yükümlülüklerin oluşabileceği durumlardaki risklerdir.</w:t>
            </w:r>
          </w:p>
        </w:tc>
      </w:tr>
      <w:tr w:rsidR="003576B9" w:rsidRPr="004A1A3D" w14:paraId="733F858E" w14:textId="77777777" w:rsidTr="004A1A3D">
        <w:trPr>
          <w:trHeight w:hRule="exact" w:val="5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4BF74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9</w:t>
            </w:r>
          </w:p>
        </w:tc>
        <w:tc>
          <w:tcPr>
            <w:tcW w:w="1168" w:type="dxa"/>
            <w:vMerge/>
            <w:tcBorders>
              <w:left w:val="single" w:sz="4" w:space="0" w:color="auto"/>
            </w:tcBorders>
            <w:shd w:val="clear" w:color="auto" w:fill="FE0001"/>
            <w:vAlign w:val="center"/>
          </w:tcPr>
          <w:p w14:paraId="0721A248" w14:textId="77777777" w:rsidR="008424BD" w:rsidRPr="004A1A3D" w:rsidRDefault="008424BD" w:rsidP="0025443A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5B4F2B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F8E223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08376D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431ADB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9F742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576B9" w:rsidRPr="004A1A3D" w14:paraId="766D213E" w14:textId="77777777" w:rsidTr="004A1A3D">
        <w:trPr>
          <w:trHeight w:val="82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37C9D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8</w:t>
            </w:r>
          </w:p>
        </w:tc>
        <w:tc>
          <w:tcPr>
            <w:tcW w:w="1168" w:type="dxa"/>
            <w:vMerge/>
            <w:tcBorders>
              <w:left w:val="single" w:sz="4" w:space="0" w:color="auto"/>
            </w:tcBorders>
            <w:shd w:val="clear" w:color="auto" w:fill="FE0001"/>
            <w:vAlign w:val="center"/>
          </w:tcPr>
          <w:p w14:paraId="26007FC2" w14:textId="77777777" w:rsidR="008424BD" w:rsidRPr="004A1A3D" w:rsidRDefault="008424BD" w:rsidP="0025443A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31FE74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FBA533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FD4F25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D2326E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586B1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576B9" w:rsidRPr="004A1A3D" w14:paraId="729E8C2E" w14:textId="77777777" w:rsidTr="004A1A3D">
        <w:trPr>
          <w:trHeight w:hRule="exact" w:val="69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14BEC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7</w:t>
            </w:r>
          </w:p>
        </w:tc>
        <w:tc>
          <w:tcPr>
            <w:tcW w:w="1168" w:type="dxa"/>
            <w:vMerge/>
            <w:tcBorders>
              <w:left w:val="single" w:sz="4" w:space="0" w:color="auto"/>
            </w:tcBorders>
            <w:shd w:val="clear" w:color="auto" w:fill="FE0001"/>
            <w:vAlign w:val="center"/>
          </w:tcPr>
          <w:p w14:paraId="6DEA7513" w14:textId="77777777" w:rsidR="008424BD" w:rsidRPr="004A1A3D" w:rsidRDefault="008424BD" w:rsidP="0025443A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9A39A9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A2E7A0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9CE029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504242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AD51E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576B9" w:rsidRPr="004A1A3D" w14:paraId="578DA251" w14:textId="77777777" w:rsidTr="004A1A3D">
        <w:trPr>
          <w:trHeight w:hRule="exact" w:val="75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4A7F6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6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15C6DE5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Orta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70C88" w14:textId="35565234" w:rsidR="008424BD" w:rsidRPr="004A1A3D" w:rsidRDefault="004A1A3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..</w:t>
            </w:r>
            <w:r w:rsidR="008424BD" w:rsidRPr="004A1A3D">
              <w:rPr>
                <w:rFonts w:ascii="Arial" w:hAnsi="Arial" w:cs="Arial"/>
              </w:rPr>
              <w:t>.yıl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/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ay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/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gün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içerisinde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gerçekleşme olasılığı olan risklerdir.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 xml:space="preserve">Bunlar </w:t>
            </w:r>
            <w:r w:rsidR="00465619" w:rsidRPr="004A1A3D">
              <w:rPr>
                <w:rFonts w:ascii="Arial" w:hAnsi="Arial" w:cs="Arial"/>
              </w:rPr>
              <w:t>g</w:t>
            </w:r>
            <w:r w:rsidR="008424BD" w:rsidRPr="004A1A3D">
              <w:rPr>
                <w:rFonts w:ascii="Arial" w:hAnsi="Arial" w:cs="Arial"/>
              </w:rPr>
              <w:t>enellikle idarenin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/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birimin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/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alt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birimin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daha önce de karşılaştığı veya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genel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olarak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idarelerde karşılaşılmış olan risklerdir.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21E89" w14:textId="69BEFC85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Stratejik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hedeflere</w:t>
            </w:r>
            <w:r w:rsidR="00465619" w:rsidRPr="004A1A3D">
              <w:rPr>
                <w:rFonts w:ascii="Arial" w:hAnsi="Arial" w:cs="Arial"/>
              </w:rPr>
              <w:t xml:space="preserve"> U</w:t>
            </w:r>
            <w:r w:rsidRPr="004A1A3D">
              <w:rPr>
                <w:rFonts w:ascii="Arial" w:hAnsi="Arial" w:cs="Arial"/>
              </w:rPr>
              <w:t>laşmada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belirli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düzeyde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etkisi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olabilecek risklerdir. Bu puan aralığında yer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almakla birlikte stratejik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hedefleri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etkileyebilecek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kilit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risklerin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kriterlerinin</w:t>
            </w:r>
          </w:p>
          <w:p w14:paraId="24DA3182" w14:textId="60C2D2A5" w:rsidR="008424BD" w:rsidRPr="004A1A3D" w:rsidRDefault="004A1A3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b</w:t>
            </w:r>
            <w:r w:rsidR="008424BD" w:rsidRPr="004A1A3D">
              <w:rPr>
                <w:rFonts w:ascii="Arial" w:hAnsi="Arial" w:cs="Arial"/>
              </w:rPr>
              <w:t>elirlenmesi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gerekmektedir.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7B707" w14:textId="568562D2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İdarenin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birimin 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alt birimin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sunması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gereken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hizmeti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etkili, ekonomik ve verimli bir biçimde gerçekleştirmesi üzerinde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belirli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düzeyde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etkisi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olabilecek risklerdir.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66C40" w14:textId="46AEBFDC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İdare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alt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için belirli bir düzeyde maddi kayba neden</w:t>
            </w:r>
            <w:r w:rsidR="00465619" w:rsidRPr="004A1A3D">
              <w:rPr>
                <w:rFonts w:ascii="Arial" w:hAnsi="Arial" w:cs="Arial"/>
              </w:rPr>
              <w:t xml:space="preserve"> o</w:t>
            </w:r>
            <w:r w:rsidRPr="004A1A3D">
              <w:rPr>
                <w:rFonts w:ascii="Arial" w:hAnsi="Arial" w:cs="Arial"/>
              </w:rPr>
              <w:t>labilecek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risklerdir.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İdare tarafından kabul edilebilir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düzeyde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etkili,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ekonomik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ve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verimli kullanılmaması orta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riskli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kabul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edilmelidir.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654A" w14:textId="35B4BE31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Bilerek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veya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bilmeyerek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mevzuatla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uyumun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sağlanamaması durumunda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idare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alt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üzerinde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belirli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düzeyde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yükümlülüklerin</w:t>
            </w:r>
          </w:p>
          <w:p w14:paraId="3B41B63A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oluşabileceği risklerdir.</w:t>
            </w:r>
          </w:p>
          <w:p w14:paraId="445DA4F2" w14:textId="6DDFBC24" w:rsidR="00465619" w:rsidRPr="004A1A3D" w:rsidRDefault="00465619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576B9" w:rsidRPr="004A1A3D" w14:paraId="532A0931" w14:textId="77777777" w:rsidTr="004A1A3D">
        <w:trPr>
          <w:trHeight w:val="73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8E56C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5</w:t>
            </w:r>
          </w:p>
        </w:tc>
        <w:tc>
          <w:tcPr>
            <w:tcW w:w="1168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7A664EE" w14:textId="77777777" w:rsidR="008424BD" w:rsidRPr="004A1A3D" w:rsidRDefault="008424BD" w:rsidP="0025443A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7AF2AD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BCA61E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3DD3D7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F4E48D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0E265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576B9" w:rsidRPr="004A1A3D" w14:paraId="2BC3E6E2" w14:textId="77777777" w:rsidTr="004A1A3D">
        <w:trPr>
          <w:trHeight w:hRule="exact" w:val="108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F881A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4</w:t>
            </w:r>
          </w:p>
        </w:tc>
        <w:tc>
          <w:tcPr>
            <w:tcW w:w="1168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F05051D" w14:textId="77777777" w:rsidR="008424BD" w:rsidRPr="004A1A3D" w:rsidRDefault="008424BD" w:rsidP="0025443A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A22829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BAC33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39EB61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07D3AF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0CC8B" w14:textId="77777777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424BD" w:rsidRPr="004A1A3D" w14:paraId="0C0EF1B3" w14:textId="77777777" w:rsidTr="004A1A3D">
        <w:trPr>
          <w:trHeight w:hRule="exact" w:val="95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D45A5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3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FF01"/>
            <w:vAlign w:val="center"/>
          </w:tcPr>
          <w:p w14:paraId="01E580BE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Düşük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108EE" w14:textId="747ED1D1" w:rsidR="008424BD" w:rsidRPr="004A1A3D" w:rsidRDefault="004A1A3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..</w:t>
            </w:r>
            <w:r w:rsidR="008424BD" w:rsidRPr="004A1A3D">
              <w:rPr>
                <w:rFonts w:ascii="Arial" w:hAnsi="Arial" w:cs="Arial"/>
              </w:rPr>
              <w:t>.yıl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/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ay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/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gün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içerisinde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gerçekleşme ihtimali düşük olan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risklerdir.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Bunlar genellikle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idarenin/birimin/alt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birimin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çok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ender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karşılaştığı,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gerçekleşme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olasılığının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neredeyse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olmadığı</w:t>
            </w:r>
          </w:p>
          <w:p w14:paraId="04B5A081" w14:textId="0F307CA3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risklerdir.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46B8A" w14:textId="12230A2C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Stratejik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hedeflere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ulaşmada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çok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az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etkisi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olabilecek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risklerdir.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Etkiler</w:t>
            </w:r>
          </w:p>
          <w:p w14:paraId="4235A899" w14:textId="42B01188" w:rsidR="008424BD" w:rsidRPr="004A1A3D" w:rsidRDefault="00465619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g</w:t>
            </w:r>
            <w:r w:rsidR="008424BD" w:rsidRPr="004A1A3D">
              <w:rPr>
                <w:rFonts w:ascii="Arial" w:hAnsi="Arial" w:cs="Arial"/>
              </w:rPr>
              <w:t>enellikle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küçüktür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ve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sınırlı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bir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alanı</w:t>
            </w:r>
            <w:r w:rsidRPr="004A1A3D">
              <w:rPr>
                <w:rFonts w:ascii="Arial" w:hAnsi="Arial" w:cs="Arial"/>
              </w:rPr>
              <w:t xml:space="preserve"> </w:t>
            </w:r>
            <w:r w:rsidR="008424BD" w:rsidRPr="004A1A3D">
              <w:rPr>
                <w:rFonts w:ascii="Arial" w:hAnsi="Arial" w:cs="Arial"/>
              </w:rPr>
              <w:t>kapsar.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EC815" w14:textId="0537ECBE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İdarenin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birimin 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alt birimin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sunması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gereken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hizmeti etkili, ekonomik ve verimli bir biçimde gerçekleştirmesi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üzerinde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çok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az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etkisi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olabilecek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risklerdir.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E9DBA" w14:textId="17550880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İdare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bölüm için çok az maddi kayba neden olacak riskledir. Kamu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kaynaklarının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idare tarafından kabul edilebilir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düzeyin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altında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etkili,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ekonomik ve verimli kullanılmaması,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belirli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miktarın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altında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harcanması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düşük riskli olarak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kabul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edilmektedir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695" w14:textId="3D672122" w:rsidR="008424BD" w:rsidRPr="004A1A3D" w:rsidRDefault="008424BD" w:rsidP="003576B9">
            <w:pPr>
              <w:contextualSpacing/>
              <w:jc w:val="center"/>
              <w:rPr>
                <w:rFonts w:ascii="Arial" w:hAnsi="Arial" w:cs="Arial"/>
              </w:rPr>
            </w:pPr>
            <w:r w:rsidRPr="004A1A3D">
              <w:rPr>
                <w:rFonts w:ascii="Arial" w:hAnsi="Arial" w:cs="Arial"/>
              </w:rPr>
              <w:t>Bilerek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veya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bilmeyerek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mevzuatla</w:t>
            </w:r>
            <w:r w:rsidR="003576B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uyumun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sağlanamaması durumunda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idare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/</w:t>
            </w:r>
            <w:r w:rsidR="004A1A3D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alt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birim üzerinde çok düşük düzeyde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yükümlülüklerin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ve/veya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sorumlulukların</w:t>
            </w:r>
            <w:r w:rsidR="00465619" w:rsidRPr="004A1A3D">
              <w:rPr>
                <w:rFonts w:ascii="Arial" w:hAnsi="Arial" w:cs="Arial"/>
              </w:rPr>
              <w:t xml:space="preserve"> </w:t>
            </w:r>
            <w:r w:rsidRPr="004A1A3D">
              <w:rPr>
                <w:rFonts w:ascii="Arial" w:hAnsi="Arial" w:cs="Arial"/>
              </w:rPr>
              <w:t>oluşabileceği durumlardaki risklerdir.</w:t>
            </w:r>
          </w:p>
        </w:tc>
      </w:tr>
      <w:tr w:rsidR="008424BD" w:rsidRPr="004A1A3D" w14:paraId="2BD909FC" w14:textId="77777777" w:rsidTr="004A1A3D">
        <w:trPr>
          <w:trHeight w:hRule="exact" w:val="97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23F44" w14:textId="5DEE37C0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auto"/>
            </w:tcBorders>
            <w:shd w:val="clear" w:color="auto" w:fill="00FF01"/>
            <w:vAlign w:val="center"/>
          </w:tcPr>
          <w:p w14:paraId="75F20EF5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4C590" w14:textId="77777777" w:rsidR="008424BD" w:rsidRPr="004A1A3D" w:rsidRDefault="008424BD" w:rsidP="0025443A">
            <w:pPr>
              <w:pStyle w:val="Dier0"/>
              <w:tabs>
                <w:tab w:val="left" w:pos="1752"/>
              </w:tabs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C0932" w14:textId="77777777" w:rsidR="008424BD" w:rsidRPr="004A1A3D" w:rsidRDefault="008424BD" w:rsidP="0025443A">
            <w:pPr>
              <w:pStyle w:val="Dier0"/>
              <w:tabs>
                <w:tab w:val="left" w:pos="1080"/>
              </w:tabs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97B83" w14:textId="77777777" w:rsidR="008424BD" w:rsidRPr="004A1A3D" w:rsidRDefault="008424BD" w:rsidP="0025443A">
            <w:pPr>
              <w:pStyle w:val="Dier0"/>
              <w:tabs>
                <w:tab w:val="left" w:pos="1234"/>
              </w:tabs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41AD8" w14:textId="77777777" w:rsidR="008424BD" w:rsidRPr="004A1A3D" w:rsidRDefault="008424BD" w:rsidP="0025443A">
            <w:pPr>
              <w:pStyle w:val="Dier0"/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AA89" w14:textId="77777777" w:rsidR="008424BD" w:rsidRPr="004A1A3D" w:rsidRDefault="008424BD" w:rsidP="0025443A">
            <w:pPr>
              <w:pStyle w:val="Dier0"/>
              <w:tabs>
                <w:tab w:val="left" w:pos="888"/>
                <w:tab w:val="left" w:pos="1666"/>
              </w:tabs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</w:tr>
      <w:tr w:rsidR="008424BD" w:rsidRPr="004A1A3D" w14:paraId="4C9B7E55" w14:textId="77777777" w:rsidTr="004A1A3D">
        <w:trPr>
          <w:trHeight w:hRule="exact" w:val="113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AC9CB" w14:textId="16DDA84E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</w:pPr>
            <w:r w:rsidRPr="004A1A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  <w:t>1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FF01"/>
            <w:vAlign w:val="center"/>
          </w:tcPr>
          <w:p w14:paraId="1F0C511B" w14:textId="77777777" w:rsidR="008424BD" w:rsidRPr="004A1A3D" w:rsidRDefault="008424BD" w:rsidP="0025443A">
            <w:pPr>
              <w:pStyle w:val="Dier0"/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042EA" w14:textId="77777777" w:rsidR="008424BD" w:rsidRPr="004A1A3D" w:rsidRDefault="008424BD" w:rsidP="0025443A">
            <w:pPr>
              <w:pStyle w:val="Dier0"/>
              <w:tabs>
                <w:tab w:val="left" w:pos="1752"/>
              </w:tabs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3D722" w14:textId="77777777" w:rsidR="008424BD" w:rsidRPr="004A1A3D" w:rsidRDefault="008424BD" w:rsidP="0025443A">
            <w:pPr>
              <w:pStyle w:val="Dier0"/>
              <w:tabs>
                <w:tab w:val="left" w:pos="1080"/>
              </w:tabs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1222C" w14:textId="77777777" w:rsidR="008424BD" w:rsidRPr="004A1A3D" w:rsidRDefault="008424BD" w:rsidP="0025443A">
            <w:pPr>
              <w:pStyle w:val="Dier0"/>
              <w:tabs>
                <w:tab w:val="left" w:pos="1234"/>
              </w:tabs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8BE43" w14:textId="77777777" w:rsidR="008424BD" w:rsidRPr="004A1A3D" w:rsidRDefault="008424BD" w:rsidP="0025443A">
            <w:pPr>
              <w:pStyle w:val="Dier0"/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E6BC" w14:textId="77777777" w:rsidR="008424BD" w:rsidRPr="004A1A3D" w:rsidRDefault="008424BD" w:rsidP="0025443A">
            <w:pPr>
              <w:pStyle w:val="Dier0"/>
              <w:tabs>
                <w:tab w:val="left" w:pos="888"/>
                <w:tab w:val="left" w:pos="1666"/>
              </w:tabs>
              <w:spacing w:after="0"/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tr-TR" w:bidi="tr-TR"/>
              </w:rPr>
            </w:pPr>
          </w:p>
        </w:tc>
      </w:tr>
    </w:tbl>
    <w:p w14:paraId="33F45DAC" w14:textId="77777777" w:rsidR="003576B9" w:rsidRDefault="003576B9" w:rsidP="003576B9">
      <w:pPr>
        <w:ind w:left="-709" w:right="-708"/>
        <w:rPr>
          <w:rFonts w:ascii="Arial" w:hAnsi="Arial" w:cs="Arial"/>
        </w:rPr>
      </w:pPr>
    </w:p>
    <w:p w14:paraId="3F706FC8" w14:textId="12BE3DC5" w:rsidR="000E185D" w:rsidRPr="003576B9" w:rsidRDefault="00465619" w:rsidP="003576B9">
      <w:pPr>
        <w:ind w:left="-709" w:right="-708"/>
        <w:rPr>
          <w:rFonts w:ascii="Arial" w:hAnsi="Arial" w:cs="Arial"/>
        </w:rPr>
      </w:pPr>
      <w:r w:rsidRPr="003576B9">
        <w:rPr>
          <w:rFonts w:ascii="Arial" w:hAnsi="Arial" w:cs="Arial"/>
        </w:rPr>
        <w:t>AÇIKLAMA: Tablodaki bilgiler risklerin etki ve olasılık puanlarının verilmesinde genel esasları düzenlemekte olup gerek risk kategorileri (strateji, faaliyetler</w:t>
      </w:r>
      <w:r w:rsidR="004A1A3D">
        <w:rPr>
          <w:rFonts w:ascii="Arial" w:hAnsi="Arial" w:cs="Arial"/>
        </w:rPr>
        <w:t xml:space="preserve"> </w:t>
      </w:r>
      <w:r w:rsidRPr="003576B9">
        <w:rPr>
          <w:rFonts w:ascii="Arial" w:hAnsi="Arial" w:cs="Arial"/>
        </w:rPr>
        <w:t>/</w:t>
      </w:r>
      <w:r w:rsidR="004A1A3D">
        <w:rPr>
          <w:rFonts w:ascii="Arial" w:hAnsi="Arial" w:cs="Arial"/>
        </w:rPr>
        <w:t xml:space="preserve"> </w:t>
      </w:r>
      <w:r w:rsidRPr="003576B9">
        <w:rPr>
          <w:rFonts w:ascii="Arial" w:hAnsi="Arial" w:cs="Arial"/>
        </w:rPr>
        <w:t>süreçler, mali, mevzuata uyum vb.) gerekse risk kriterleri, idareler tarafından kendi görev alanlarına özgü olarak belirlenmelidir.</w:t>
      </w:r>
    </w:p>
    <w:sectPr w:rsidR="000E185D" w:rsidRPr="003576B9" w:rsidSect="004A1A3D">
      <w:pgSz w:w="16838" w:h="11906" w:orient="landscape"/>
      <w:pgMar w:top="568" w:right="138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7211D"/>
    <w:multiLevelType w:val="hybridMultilevel"/>
    <w:tmpl w:val="AD3ECF98"/>
    <w:lvl w:ilvl="0" w:tplc="40DCB12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pStyle w:val="Bent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1194E"/>
    <w:multiLevelType w:val="multilevel"/>
    <w:tmpl w:val="041F001D"/>
    <w:styleLink w:val="MaddeSay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2D"/>
    <w:rsid w:val="00005A5D"/>
    <w:rsid w:val="000E185D"/>
    <w:rsid w:val="00182DB0"/>
    <w:rsid w:val="003576B9"/>
    <w:rsid w:val="00465619"/>
    <w:rsid w:val="004A1A3D"/>
    <w:rsid w:val="0063059D"/>
    <w:rsid w:val="007C762D"/>
    <w:rsid w:val="008424BD"/>
    <w:rsid w:val="00DF617C"/>
    <w:rsid w:val="00E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D593"/>
  <w15:chartTrackingRefBased/>
  <w15:docId w15:val="{EE1886A1-44F3-4FB6-8FFE-175F79A7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icrosoft Sans Serif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BD"/>
    <w:pPr>
      <w:widowControl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eastAsia="tr-TR" w:bidi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005A5D"/>
    <w:pPr>
      <w:keepNext/>
      <w:keepLines/>
      <w:spacing w:before="240" w:line="276" w:lineRule="auto"/>
      <w:outlineLvl w:val="0"/>
    </w:pPr>
    <w:rPr>
      <w:rFonts w:ascii="Times New Roman" w:eastAsiaTheme="majorEastAsia" w:hAnsi="Times New Roman" w:cstheme="majorBidi"/>
      <w:b/>
      <w:color w:val="auto"/>
      <w:sz w:val="22"/>
      <w:szCs w:val="32"/>
      <w:lang w:eastAsia="en-US" w:bidi="ar-SA"/>
    </w:rPr>
  </w:style>
  <w:style w:type="paragraph" w:styleId="Balk2">
    <w:name w:val="heading 2"/>
    <w:basedOn w:val="Normal"/>
    <w:next w:val="Normal"/>
    <w:link w:val="Balk2Char"/>
    <w:autoRedefine/>
    <w:uiPriority w:val="9"/>
    <w:semiHidden/>
    <w:unhideWhenUsed/>
    <w:qFormat/>
    <w:rsid w:val="00005A5D"/>
    <w:pPr>
      <w:keepNext/>
      <w:keepLines/>
      <w:spacing w:before="40" w:line="276" w:lineRule="auto"/>
      <w:outlineLvl w:val="1"/>
    </w:pPr>
    <w:rPr>
      <w:rFonts w:ascii="Times New Roman" w:eastAsiaTheme="majorEastAsia" w:hAnsi="Times New Roman" w:cstheme="majorBidi"/>
      <w:b/>
      <w:color w:val="auto"/>
      <w:sz w:val="22"/>
      <w:szCs w:val="26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slakBal">
    <w:name w:val="Taslak Başlığı"/>
    <w:basedOn w:val="Balk1"/>
    <w:autoRedefine/>
    <w:qFormat/>
    <w:rsid w:val="00005A5D"/>
    <w:pPr>
      <w:jc w:val="center"/>
    </w:pPr>
    <w:rPr>
      <w:b w:val="0"/>
      <w:bCs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005A5D"/>
    <w:rPr>
      <w:rFonts w:ascii="Times New Roman" w:eastAsiaTheme="majorEastAsia" w:hAnsi="Times New Roman" w:cstheme="majorBidi"/>
      <w:b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5A5D"/>
    <w:rPr>
      <w:rFonts w:ascii="Times New Roman" w:eastAsiaTheme="majorEastAsia" w:hAnsi="Times New Roman" w:cstheme="majorBidi"/>
      <w:b/>
      <w:szCs w:val="26"/>
    </w:rPr>
  </w:style>
  <w:style w:type="numbering" w:customStyle="1" w:styleId="MaddeSay">
    <w:name w:val="Madde(Sayı)"/>
    <w:basedOn w:val="ListeYok"/>
    <w:uiPriority w:val="99"/>
    <w:rsid w:val="00005A5D"/>
    <w:pPr>
      <w:numPr>
        <w:numId w:val="2"/>
      </w:numPr>
    </w:pPr>
  </w:style>
  <w:style w:type="paragraph" w:customStyle="1" w:styleId="MaddeBal">
    <w:name w:val="Madde Başlığı"/>
    <w:basedOn w:val="Balk1"/>
    <w:autoRedefine/>
    <w:qFormat/>
    <w:rsid w:val="00005A5D"/>
    <w:rPr>
      <w:sz w:val="24"/>
      <w:lang w:eastAsia="tr-TR" w:bidi="tr-TR"/>
    </w:rPr>
  </w:style>
  <w:style w:type="paragraph" w:customStyle="1" w:styleId="Madde">
    <w:name w:val="Madde"/>
    <w:basedOn w:val="Balk1"/>
    <w:autoRedefine/>
    <w:qFormat/>
    <w:rsid w:val="00005A5D"/>
    <w:rPr>
      <w:sz w:val="24"/>
      <w:lang w:eastAsia="tr-TR" w:bidi="tr-TR"/>
    </w:rPr>
  </w:style>
  <w:style w:type="paragraph" w:customStyle="1" w:styleId="Bent">
    <w:name w:val="Bent"/>
    <w:basedOn w:val="Madde"/>
    <w:autoRedefine/>
    <w:qFormat/>
    <w:rsid w:val="00005A5D"/>
    <w:pPr>
      <w:numPr>
        <w:numId w:val="1"/>
      </w:numPr>
      <w:contextualSpacing/>
      <w:mirrorIndents/>
      <w:jc w:val="both"/>
    </w:pPr>
    <w:rPr>
      <w:b w:val="0"/>
      <w:bCs/>
    </w:rPr>
  </w:style>
  <w:style w:type="character" w:customStyle="1" w:styleId="Balk3">
    <w:name w:val="Başlık #3_"/>
    <w:basedOn w:val="VarsaylanParagrafYazTipi"/>
    <w:link w:val="Balk30"/>
    <w:rsid w:val="008424BD"/>
    <w:rPr>
      <w:rFonts w:ascii="Century Gothic" w:eastAsia="Century Gothic" w:hAnsi="Century Gothic" w:cs="Century Gothic"/>
      <w:b/>
      <w:bCs/>
      <w:sz w:val="24"/>
      <w:szCs w:val="24"/>
    </w:rPr>
  </w:style>
  <w:style w:type="character" w:customStyle="1" w:styleId="Dier">
    <w:name w:val="Diğer_"/>
    <w:basedOn w:val="VarsaylanParagrafYazTipi"/>
    <w:link w:val="Dier0"/>
    <w:rsid w:val="008424BD"/>
    <w:rPr>
      <w:rFonts w:ascii="Century Gothic" w:eastAsia="Century Gothic" w:hAnsi="Century Gothic" w:cs="Century Gothic"/>
      <w:sz w:val="20"/>
      <w:szCs w:val="20"/>
    </w:rPr>
  </w:style>
  <w:style w:type="paragraph" w:customStyle="1" w:styleId="Balk30">
    <w:name w:val="Başlık #3"/>
    <w:basedOn w:val="Normal"/>
    <w:link w:val="Balk3"/>
    <w:rsid w:val="008424BD"/>
    <w:pPr>
      <w:spacing w:after="60"/>
      <w:outlineLvl w:val="2"/>
    </w:pPr>
    <w:rPr>
      <w:rFonts w:ascii="Century Gothic" w:eastAsia="Century Gothic" w:hAnsi="Century Gothic" w:cs="Century Gothic"/>
      <w:b/>
      <w:bCs/>
      <w:color w:val="auto"/>
      <w:lang w:eastAsia="en-US" w:bidi="ar-SA"/>
    </w:rPr>
  </w:style>
  <w:style w:type="paragraph" w:customStyle="1" w:styleId="Dier0">
    <w:name w:val="Diğer"/>
    <w:basedOn w:val="Normal"/>
    <w:link w:val="Dier"/>
    <w:rsid w:val="008424BD"/>
    <w:pPr>
      <w:spacing w:after="60"/>
      <w:ind w:firstLine="380"/>
    </w:pPr>
    <w:rPr>
      <w:rFonts w:ascii="Century Gothic" w:eastAsia="Century Gothic" w:hAnsi="Century Gothic" w:cs="Century Gothic"/>
      <w:color w:val="auto"/>
      <w:sz w:val="20"/>
      <w:szCs w:val="20"/>
      <w:lang w:eastAsia="en-US" w:bidi="ar-SA"/>
    </w:rPr>
  </w:style>
  <w:style w:type="character" w:customStyle="1" w:styleId="Balk10">
    <w:name w:val="Başlık #1_"/>
    <w:basedOn w:val="VarsaylanParagrafYazTipi"/>
    <w:link w:val="Balk11"/>
    <w:rsid w:val="008424BD"/>
    <w:rPr>
      <w:rFonts w:ascii="Calibri" w:eastAsia="Calibri" w:hAnsi="Calibri" w:cs="Calibri"/>
      <w:color w:val="EBEBEB"/>
      <w:sz w:val="48"/>
      <w:szCs w:val="48"/>
    </w:rPr>
  </w:style>
  <w:style w:type="paragraph" w:customStyle="1" w:styleId="Balk11">
    <w:name w:val="Başlık #1"/>
    <w:basedOn w:val="Normal"/>
    <w:link w:val="Balk10"/>
    <w:rsid w:val="008424BD"/>
    <w:pPr>
      <w:jc w:val="center"/>
      <w:outlineLvl w:val="0"/>
    </w:pPr>
    <w:rPr>
      <w:rFonts w:ascii="Calibri" w:eastAsia="Calibri" w:hAnsi="Calibri" w:cs="Calibri"/>
      <w:color w:val="EBEBEB"/>
      <w:sz w:val="48"/>
      <w:szCs w:val="4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ilkay parti</dc:creator>
  <cp:keywords/>
  <dc:description/>
  <cp:lastModifiedBy>ilkay parti</cp:lastModifiedBy>
  <cp:revision>6</cp:revision>
  <dcterms:created xsi:type="dcterms:W3CDTF">2025-10-10T07:59:00Z</dcterms:created>
  <dcterms:modified xsi:type="dcterms:W3CDTF">2025-11-05T11:18:00Z</dcterms:modified>
</cp:coreProperties>
</file>